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Pr="005A2637" w:rsidRDefault="00753014" w:rsidP="00753014">
      <w:pPr>
        <w:jc w:val="center"/>
        <w:rPr>
          <w:rFonts w:ascii="Times New Roman" w:hAnsi="Times New Roman"/>
          <w:b/>
          <w:bCs/>
        </w:rPr>
      </w:pPr>
    </w:p>
    <w:p w:rsidR="00753014" w:rsidRPr="00085D06" w:rsidRDefault="00753014" w:rsidP="00E87741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0"/>
        <w:gridCol w:w="1910"/>
        <w:gridCol w:w="1130"/>
        <w:gridCol w:w="1972"/>
        <w:gridCol w:w="1225"/>
      </w:tblGrid>
      <w:tr w:rsidR="00753014" w:rsidRPr="00204075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204075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5C7FF2"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 </w:t>
            </w:r>
            <w:r w:rsidR="00DB5DDA" w:rsidRPr="0020407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Специјалистичке струковне студије </w:t>
            </w:r>
            <w:r w:rsidR="005C7FF2"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Процена безбедносних ризика</w:t>
            </w:r>
          </w:p>
        </w:tc>
      </w:tr>
      <w:tr w:rsidR="00753014" w:rsidRPr="00204075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C7FF2"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Здравствени, сигурносни и безбедносни ризици</w:t>
            </w:r>
          </w:p>
        </w:tc>
      </w:tr>
      <w:tr w:rsidR="00753014" w:rsidRPr="00204075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C7FF2"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Дејана Јовановић Поповић</w:t>
            </w:r>
            <w:r w:rsidR="00686D28"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, Слађана Јовић, Јасмина Гачић</w:t>
            </w:r>
          </w:p>
        </w:tc>
      </w:tr>
      <w:tr w:rsidR="00753014" w:rsidRPr="00E87741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2040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C7FF2"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  <w:r w:rsidR="00D41B69"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753014" w:rsidRPr="00E87741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C7FF2"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6</w:t>
            </w:r>
          </w:p>
        </w:tc>
      </w:tr>
      <w:tr w:rsidR="00753014" w:rsidRPr="00204075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B5DDA"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180 ЕЦПБ у предходном школовању</w:t>
            </w:r>
          </w:p>
        </w:tc>
      </w:tr>
      <w:tr w:rsidR="00753014" w:rsidRPr="00204075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53014" w:rsidRPr="00204075" w:rsidRDefault="00DF506D" w:rsidP="009875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04075">
              <w:rPr>
                <w:rFonts w:ascii="Times New Roman" w:hAnsi="Times New Roman"/>
                <w:sz w:val="20"/>
                <w:szCs w:val="20"/>
                <w:lang w:val="ru-RU"/>
              </w:rPr>
              <w:t>Овај ппредмет</w:t>
            </w:r>
            <w:r w:rsidR="005C7FF2" w:rsidRPr="002040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даје преглед прописа ЕУ из области </w:t>
            </w:r>
            <w:r w:rsidR="005C7FF2" w:rsidRPr="00E87741">
              <w:rPr>
                <w:rFonts w:ascii="Times New Roman" w:hAnsi="Times New Roman"/>
                <w:sz w:val="20"/>
                <w:szCs w:val="20"/>
              </w:rPr>
              <w:t>HSSE</w:t>
            </w:r>
            <w:r w:rsidR="005C7FF2" w:rsidRPr="00E87741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="005C7FF2" w:rsidRPr="00E87741">
              <w:rPr>
                <w:rFonts w:ascii="Times New Roman" w:hAnsi="Times New Roman"/>
                <w:sz w:val="20"/>
                <w:szCs w:val="20"/>
              </w:rPr>
              <w:t>a</w:t>
            </w:r>
            <w:r w:rsidR="005C7FF2"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(Здравље, сигурност, безбед</w:t>
            </w:r>
            <w:r w:rsidR="00A87274" w:rsidRPr="00E87741">
              <w:rPr>
                <w:rFonts w:ascii="Times New Roman" w:hAnsi="Times New Roman"/>
                <w:sz w:val="20"/>
                <w:szCs w:val="20"/>
                <w:lang w:val="ru-RU"/>
              </w:rPr>
              <w:t>ност и заштита животне средине)</w:t>
            </w:r>
            <w:r w:rsidR="005C7FF2"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A87274" w:rsidRPr="00E87741">
              <w:rPr>
                <w:rFonts w:ascii="Times New Roman" w:hAnsi="Times New Roman"/>
                <w:sz w:val="20"/>
                <w:szCs w:val="20"/>
                <w:lang w:val="ru-RU"/>
              </w:rPr>
              <w:t>објашњава циљеве и захтеве, као и најновију примену, укључ</w:t>
            </w:r>
            <w:r w:rsidR="00270BBE" w:rsidRPr="002040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A87274"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ујући ограничења и предности. </w:t>
            </w:r>
            <w:r w:rsidR="0098752C"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Посебан фокус је на Интегрисаном спречавању и контроли </w:t>
            </w:r>
            <w:r w:rsidR="00EA7765"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загађивања </w:t>
            </w:r>
            <w:r w:rsidR="0098752C" w:rsidRPr="00E87741">
              <w:rPr>
                <w:rFonts w:ascii="Times New Roman" w:hAnsi="Times New Roman"/>
                <w:sz w:val="20"/>
                <w:szCs w:val="20"/>
                <w:lang w:val="ru-RU"/>
              </w:rPr>
              <w:t>животне средине (</w:t>
            </w:r>
            <w:r w:rsidR="0098752C" w:rsidRPr="00E87741">
              <w:rPr>
                <w:rFonts w:ascii="Times New Roman" w:hAnsi="Times New Roman"/>
                <w:sz w:val="20"/>
                <w:szCs w:val="20"/>
              </w:rPr>
              <w:t>IPPC</w:t>
            </w:r>
            <w:r w:rsidR="0098752C"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), </w:t>
            </w:r>
            <w:r w:rsidR="00A87274" w:rsidRPr="00204075">
              <w:rPr>
                <w:rFonts w:ascii="Times New Roman" w:hAnsi="Times New Roman"/>
                <w:sz w:val="20"/>
                <w:szCs w:val="20"/>
                <w:lang w:val="ru-RU"/>
              </w:rPr>
              <w:t>Директиви о индустријским емисијама</w:t>
            </w:r>
            <w:r w:rsidR="005C7FF2"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</w:t>
            </w:r>
            <w:r w:rsidR="005C7FF2" w:rsidRPr="00E87741">
              <w:rPr>
                <w:rFonts w:ascii="Times New Roman" w:hAnsi="Times New Roman"/>
                <w:sz w:val="20"/>
                <w:szCs w:val="20"/>
              </w:rPr>
              <w:t>IED</w:t>
            </w:r>
            <w:r w:rsidR="005C7FF2"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), </w:t>
            </w:r>
            <w:r w:rsidR="00A87274" w:rsidRPr="00204075">
              <w:rPr>
                <w:rFonts w:ascii="Times New Roman" w:hAnsi="Times New Roman"/>
                <w:sz w:val="20"/>
                <w:szCs w:val="20"/>
                <w:lang w:val="ru-RU"/>
              </w:rPr>
              <w:t>као и на превенцији великих несрећа</w:t>
            </w:r>
            <w:r w:rsidR="00A87274"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</w:t>
            </w:r>
            <w:r w:rsidR="00A87274" w:rsidRPr="00204075">
              <w:rPr>
                <w:rFonts w:ascii="Times New Roman" w:hAnsi="Times New Roman"/>
                <w:sz w:val="20"/>
                <w:szCs w:val="20"/>
                <w:lang w:val="ru-RU"/>
              </w:rPr>
              <w:t>директива</w:t>
            </w:r>
            <w:r w:rsidR="005C7FF2"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5C7FF2" w:rsidRPr="00E87741">
              <w:rPr>
                <w:rFonts w:ascii="Times New Roman" w:hAnsi="Times New Roman"/>
                <w:sz w:val="20"/>
                <w:szCs w:val="20"/>
              </w:rPr>
              <w:t>Seveso</w:t>
            </w:r>
            <w:r w:rsidR="005C7FF2" w:rsidRPr="00E87741">
              <w:rPr>
                <w:rFonts w:ascii="Times New Roman" w:hAnsi="Times New Roman"/>
                <w:sz w:val="20"/>
                <w:szCs w:val="20"/>
                <w:lang w:val="ru-RU"/>
              </w:rPr>
              <w:t>).</w:t>
            </w:r>
          </w:p>
        </w:tc>
      </w:tr>
      <w:tr w:rsidR="00753014" w:rsidRPr="00204075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8A63C4" w:rsidRPr="00E87741" w:rsidRDefault="008A63C4" w:rsidP="007A28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</w:pP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На крају </w:t>
            </w:r>
            <w:r w:rsidR="00DF506D"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>студија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 учесник ће</w:t>
            </w:r>
            <w:r w:rsidR="00B216AE"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>: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 </w:t>
            </w:r>
          </w:p>
          <w:p w:rsidR="00753014" w:rsidRPr="00E87741" w:rsidRDefault="008A63C4" w:rsidP="007A28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</w:pP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• разумети шта је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IPPC</w:t>
            </w:r>
            <w:r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04075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IED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>, као и регулаторни оквир Европске уније за управљање животном средином</w:t>
            </w:r>
            <w:r w:rsidR="004A230D"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; 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 • детаљно упознати концепт и имплементацију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Seveso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 директиве (Севесо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II</w:t>
            </w:r>
            <w:r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04075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III</w:t>
            </w:r>
            <w:r w:rsidRPr="00E87741">
              <w:rPr>
                <w:rFonts w:ascii="Times New Roman" w:hAnsi="Times New Roman"/>
                <w:sz w:val="20"/>
                <w:szCs w:val="20"/>
                <w:lang w:val="ru-RU"/>
              </w:rPr>
              <w:t>);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>); извештај о безбедности, Политика спречавања великих несрећа (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MAPP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>), систем управљања безбедношћу (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SMS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>), планирање коришћења земљишта (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LUP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>) и планови за вандредне ситуације</w:t>
            </w:r>
            <w:r w:rsidR="004A230D"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; 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 • разум</w:t>
            </w:r>
            <w:r w:rsidRPr="00204075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ru-RU"/>
              </w:rPr>
              <w:t>ети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 важност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ru-RU"/>
              </w:rPr>
              <w:t xml:space="preserve"> 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људских и сигурносних аспеката када се ради о везама за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HSSE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 у индустрији</w:t>
            </w:r>
            <w:r w:rsidR="004A230D"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>;</w:t>
            </w:r>
            <w:r w:rsidR="00DF506D"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 • упознати кључне индикаторе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 учинка (</w:t>
            </w:r>
            <w:r w:rsidR="00DD1324" w:rsidRPr="00204075">
              <w:rPr>
                <w:rFonts w:ascii="Times New Roman" w:hAnsi="Times New Roman"/>
                <w:color w:val="212121"/>
                <w:sz w:val="20"/>
                <w:szCs w:val="20"/>
                <w:lang w:val="ru-RU"/>
              </w:rPr>
              <w:t>К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PIs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), као и њихово познавање </w:t>
            </w:r>
            <w:r w:rsidRPr="00204075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ru-RU"/>
              </w:rPr>
              <w:t>и</w:t>
            </w:r>
            <w:r w:rsidR="00DF506D"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 кори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>шћење.</w:t>
            </w:r>
          </w:p>
        </w:tc>
      </w:tr>
      <w:tr w:rsidR="00753014" w:rsidRPr="00204075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A2850" w:rsidRPr="00E87741" w:rsidRDefault="007A2850" w:rsidP="00C45FC4">
            <w:pPr>
              <w:pStyle w:val="HTMLPreformatted"/>
              <w:jc w:val="both"/>
              <w:rPr>
                <w:rFonts w:ascii="Times New Roman" w:hAnsi="Times New Roman" w:cs="Times New Roman"/>
                <w:color w:val="212121"/>
                <w:lang w:val="sr-Latn-CS"/>
              </w:rPr>
            </w:pPr>
            <w:r w:rsidRPr="00E87741">
              <w:rPr>
                <w:rFonts w:ascii="Times New Roman" w:hAnsi="Times New Roman" w:cs="Times New Roman"/>
                <w:color w:val="212121"/>
                <w:lang w:val="sr-Latn-CS"/>
              </w:rPr>
              <w:t xml:space="preserve">Јединица 1: </w:t>
            </w:r>
            <w:r w:rsidR="008A63C4" w:rsidRPr="00E87741">
              <w:rPr>
                <w:rFonts w:ascii="Times New Roman" w:hAnsi="Times New Roman" w:cs="Times New Roman"/>
                <w:color w:val="212121"/>
                <w:lang w:val="sr-Latn-CS"/>
              </w:rPr>
              <w:t xml:space="preserve">Увод у </w:t>
            </w:r>
            <w:r w:rsidR="008A63C4" w:rsidRPr="00E87741">
              <w:rPr>
                <w:rFonts w:ascii="Times New Roman" w:hAnsi="Times New Roman" w:cs="Times New Roman"/>
              </w:rPr>
              <w:t>IPPC</w:t>
            </w:r>
            <w:r w:rsidR="008A63C4" w:rsidRPr="00E87741">
              <w:rPr>
                <w:rFonts w:ascii="Times New Roman" w:hAnsi="Times New Roman" w:cs="Times New Roman"/>
                <w:color w:val="212121"/>
                <w:lang w:val="sr-Latn-CS"/>
              </w:rPr>
              <w:t xml:space="preserve"> (</w:t>
            </w:r>
            <w:r w:rsidRPr="00E87741">
              <w:rPr>
                <w:rFonts w:ascii="Times New Roman" w:hAnsi="Times New Roman" w:cs="Times New Roman"/>
                <w:color w:val="212121"/>
                <w:lang w:val="sr-Latn-CS"/>
              </w:rPr>
              <w:t>Обавезни услови у околини, Захтеви за издавање дозволе</w:t>
            </w:r>
          </w:p>
          <w:p w:rsidR="00EA7765" w:rsidRPr="00E87741" w:rsidRDefault="00EA7765" w:rsidP="00EA7765">
            <w:pPr>
              <w:pStyle w:val="HTMLPreformatted"/>
              <w:rPr>
                <w:rFonts w:ascii="Times New Roman" w:hAnsi="Times New Roman" w:cs="Times New Roman"/>
                <w:color w:val="212121"/>
                <w:lang w:val="sr-Latn-CS"/>
              </w:rPr>
            </w:pPr>
            <w:r w:rsidRPr="00E87741">
              <w:rPr>
                <w:rFonts w:ascii="Times New Roman" w:hAnsi="Times New Roman" w:cs="Times New Roman"/>
                <w:color w:val="212121"/>
                <w:lang w:val="sr-Latn-CS"/>
              </w:rPr>
              <w:t xml:space="preserve">Јединица 2: Имплементација </w:t>
            </w:r>
            <w:r w:rsidRPr="00E87741">
              <w:rPr>
                <w:rFonts w:ascii="Times New Roman" w:hAnsi="Times New Roman" w:cs="Times New Roman"/>
              </w:rPr>
              <w:t>IPPC</w:t>
            </w:r>
            <w:r w:rsidRPr="00E87741">
              <w:rPr>
                <w:rFonts w:ascii="Times New Roman" w:hAnsi="Times New Roman" w:cs="Times New Roman"/>
                <w:color w:val="212121"/>
                <w:lang w:val="sr-Latn-CS"/>
              </w:rPr>
              <w:t xml:space="preserve"> -а (изван </w:t>
            </w:r>
            <w:r w:rsidRPr="00E87741">
              <w:rPr>
                <w:rFonts w:ascii="Times New Roman" w:hAnsi="Times New Roman" w:cs="Times New Roman"/>
              </w:rPr>
              <w:t>IPPC</w:t>
            </w:r>
            <w:r w:rsidRPr="00E87741">
              <w:rPr>
                <w:rFonts w:ascii="Times New Roman" w:hAnsi="Times New Roman" w:cs="Times New Roman"/>
                <w:color w:val="212121"/>
                <w:lang w:val="sr-Latn-CS"/>
              </w:rPr>
              <w:t xml:space="preserve"> …) • БРЕФ у економији и крос медијима • </w:t>
            </w:r>
            <w:r w:rsidRPr="00E87741">
              <w:rPr>
                <w:rFonts w:ascii="Times New Roman" w:hAnsi="Times New Roman" w:cs="Times New Roman"/>
              </w:rPr>
              <w:t>IPPC</w:t>
            </w:r>
            <w:r w:rsidRPr="00E87741">
              <w:rPr>
                <w:rFonts w:ascii="Times New Roman" w:hAnsi="Times New Roman" w:cs="Times New Roman"/>
                <w:color w:val="212121"/>
                <w:lang w:val="sr-Latn-CS"/>
              </w:rPr>
              <w:t xml:space="preserve"> у односу на друге инструменте • Улога LCA (Анализа животног циклуса у контексту </w:t>
            </w:r>
            <w:r w:rsidRPr="00E87741">
              <w:rPr>
                <w:rFonts w:ascii="Times New Roman" w:hAnsi="Times New Roman" w:cs="Times New Roman"/>
              </w:rPr>
              <w:t>IPPC</w:t>
            </w:r>
            <w:r w:rsidRPr="00E87741">
              <w:rPr>
                <w:rFonts w:ascii="Times New Roman" w:hAnsi="Times New Roman" w:cs="Times New Roman"/>
                <w:color w:val="212121"/>
                <w:lang w:val="sr-Latn-CS"/>
              </w:rPr>
              <w:t xml:space="preserve"> -а • Увод у LCA </w:t>
            </w:r>
          </w:p>
          <w:p w:rsidR="00EA7765" w:rsidRPr="00E87741" w:rsidRDefault="00EA7765" w:rsidP="00EA7765">
            <w:pPr>
              <w:pStyle w:val="HTMLPreformatted"/>
              <w:rPr>
                <w:rFonts w:ascii="Times New Roman" w:hAnsi="Times New Roman" w:cs="Times New Roman"/>
                <w:color w:val="212121"/>
                <w:lang w:val="ru-RU"/>
              </w:rPr>
            </w:pPr>
            <w:r w:rsidRPr="00E87741">
              <w:rPr>
                <w:rFonts w:ascii="Times New Roman" w:hAnsi="Times New Roman" w:cs="Times New Roman"/>
                <w:color w:val="212121"/>
                <w:lang w:val="sr-Latn-CS"/>
              </w:rPr>
              <w:t>Јединица 3: Политика спречавања великих несрећа (MAPP), као што тражи Севесо директивом • Концепти превенције великих несрећа • Процена ризика и извештај о безбедности • Политика спречавања великих несрећа (MAPP), Систем управљања безбедношћу (SMS), Планирање коришћења земљишта (LUP)… • Имплементација и примери</w:t>
            </w:r>
          </w:p>
          <w:p w:rsidR="007A2850" w:rsidRPr="00E87741" w:rsidRDefault="007A2850" w:rsidP="00C45FC4">
            <w:pPr>
              <w:pStyle w:val="HTMLPreformatted"/>
              <w:jc w:val="both"/>
              <w:rPr>
                <w:rFonts w:ascii="Times New Roman" w:hAnsi="Times New Roman" w:cs="Times New Roman"/>
                <w:color w:val="212121"/>
                <w:lang w:val="ru-RU"/>
              </w:rPr>
            </w:pPr>
            <w:r w:rsidRPr="00E87741">
              <w:rPr>
                <w:rFonts w:ascii="Times New Roman" w:hAnsi="Times New Roman" w:cs="Times New Roman"/>
                <w:color w:val="212121"/>
                <w:lang w:val="sr-Latn-CS"/>
              </w:rPr>
              <w:t xml:space="preserve">Јединица 4: Анализа људског фактора • Концепти људских и организационих фактора • Систем контроле и људске перформансе • Учење из искуства • Интеграција у </w:t>
            </w:r>
            <w:r w:rsidR="00C45FC4" w:rsidRPr="00E87741">
              <w:rPr>
                <w:rFonts w:ascii="Times New Roman" w:hAnsi="Times New Roman" w:cs="Times New Roman"/>
              </w:rPr>
              <w:t>SMS</w:t>
            </w:r>
          </w:p>
          <w:p w:rsidR="007A2850" w:rsidRPr="00E87741" w:rsidRDefault="007A2850" w:rsidP="00C45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</w:pP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>Јединица 5: Безбедносни аспекти • Безбедносни конц</w:t>
            </w:r>
            <w:bookmarkStart w:id="0" w:name="_GoBack"/>
            <w:bookmarkEnd w:id="0"/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епт • Анализа опасности • Анализа претњи • Добра безбедносна пракса • Управљање безбедношћу  </w:t>
            </w:r>
          </w:p>
          <w:p w:rsidR="00753014" w:rsidRPr="00E87741" w:rsidRDefault="007A2850" w:rsidP="004A2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ru-RU"/>
              </w:rPr>
            </w:pP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Јединица 6: Кључни показатељи учинка у области </w:t>
            </w:r>
            <w:r w:rsidR="00C45FC4" w:rsidRPr="00E87741">
              <w:rPr>
                <w:rFonts w:ascii="Times New Roman" w:hAnsi="Times New Roman"/>
                <w:sz w:val="20"/>
                <w:szCs w:val="20"/>
              </w:rPr>
              <w:t>HSSE</w:t>
            </w:r>
            <w:r w:rsidRPr="00E87741">
              <w:rPr>
                <w:rFonts w:ascii="Times New Roman" w:eastAsiaTheme="minorEastAsia" w:hAnsi="Times New Roman"/>
                <w:color w:val="212121"/>
                <w:sz w:val="20"/>
                <w:szCs w:val="20"/>
                <w:lang w:val="sr-Latn-CS"/>
              </w:rPr>
              <w:t xml:space="preserve"> • концепт • водећи показатељи и они који заостају • дефинисање индикатора, селекција, агрегирање и израчунавање • употреба индикатора и интерпретација резултата Јединица </w:t>
            </w:r>
          </w:p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753014" w:rsidRPr="00E87741" w:rsidRDefault="004A230D" w:rsidP="004A230D">
            <w:pPr>
              <w:pStyle w:val="HTMLPreformatted"/>
              <w:rPr>
                <w:rFonts w:ascii="inherit" w:hAnsi="inherit"/>
                <w:color w:val="212121"/>
                <w:lang w:val="ru-RU"/>
              </w:rPr>
            </w:pPr>
            <w:r w:rsidRPr="00E87741">
              <w:rPr>
                <w:rFonts w:ascii="Times New Roman" w:hAnsi="Times New Roman" w:cs="Times New Roman"/>
                <w:color w:val="212121"/>
                <w:lang w:val="sr-Latn-CS"/>
              </w:rPr>
              <w:t xml:space="preserve">• Пријава за дозволу: захтеване информације и поступак консултације • Севиљски процес за израду БРЕФ-ова (референтни документи о Најбољим доступним техникама - </w:t>
            </w:r>
            <w:r w:rsidRPr="00E87741">
              <w:rPr>
                <w:rFonts w:ascii="Times New Roman" w:hAnsi="Times New Roman" w:cs="Times New Roman"/>
              </w:rPr>
              <w:t>BAT</w:t>
            </w:r>
            <w:r w:rsidRPr="00E87741">
              <w:rPr>
                <w:rFonts w:ascii="Times New Roman" w:hAnsi="Times New Roman" w:cs="Times New Roman"/>
                <w:color w:val="212121"/>
                <w:lang w:val="sr-Latn-CS"/>
              </w:rPr>
              <w:t>) • Недавна еволуција: од IPPC Директиве 2008/1 / EC до Директиве о индустријским емисијама 2010/75 / ЕУ</w:t>
            </w:r>
          </w:p>
        </w:tc>
      </w:tr>
      <w:tr w:rsidR="00753014" w:rsidRPr="00E87741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C7FF2" w:rsidRPr="00E87741" w:rsidRDefault="005C7FF2" w:rsidP="00C45FC4">
            <w:pPr>
              <w:numPr>
                <w:ilvl w:val="0"/>
                <w:numId w:val="2"/>
              </w:numPr>
              <w:ind w:left="0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74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7A2850" w:rsidRPr="00E87741">
              <w:rPr>
                <w:rFonts w:ascii="Times New Roman" w:hAnsi="Times New Roman"/>
                <w:sz w:val="20"/>
                <w:szCs w:val="20"/>
              </w:rPr>
              <w:t xml:space="preserve">Уџбеник: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HSE / HSSE: Health, Safety, Security and Environment, ver. 3, March 2009</w:t>
            </w:r>
          </w:p>
          <w:p w:rsidR="005C7FF2" w:rsidRPr="00E87741" w:rsidRDefault="005C7FF2" w:rsidP="00C45FC4">
            <w:pPr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741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7A2850" w:rsidRPr="00E87741">
              <w:rPr>
                <w:rFonts w:ascii="Times New Roman" w:hAnsi="Times New Roman"/>
                <w:sz w:val="20"/>
                <w:szCs w:val="20"/>
              </w:rPr>
              <w:t>Радни материјал</w:t>
            </w:r>
          </w:p>
          <w:p w:rsidR="005C7FF2" w:rsidRPr="00E87741" w:rsidRDefault="007A2850" w:rsidP="00C45F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741">
              <w:rPr>
                <w:rFonts w:ascii="Times New Roman" w:hAnsi="Times New Roman"/>
                <w:sz w:val="20"/>
                <w:szCs w:val="20"/>
              </w:rPr>
              <w:t>Јединица 1: Introduction to IPPC (</w:t>
            </w:r>
            <w:r w:rsidR="005C7FF2" w:rsidRPr="00E87741">
              <w:rPr>
                <w:rFonts w:ascii="Times New Roman" w:hAnsi="Times New Roman"/>
                <w:sz w:val="20"/>
                <w:szCs w:val="20"/>
              </w:rPr>
              <w:t>Implementation of IPPC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C7FF2" w:rsidRPr="00E87741">
              <w:rPr>
                <w:rFonts w:ascii="Times New Roman" w:hAnsi="Times New Roman"/>
                <w:sz w:val="20"/>
                <w:szCs w:val="20"/>
              </w:rPr>
              <w:t>BREF on Economics and Cross-Media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, I</w:t>
            </w:r>
            <w:r w:rsidR="005C7FF2" w:rsidRPr="00E87741">
              <w:rPr>
                <w:rFonts w:ascii="Times New Roman" w:hAnsi="Times New Roman"/>
                <w:sz w:val="20"/>
                <w:szCs w:val="20"/>
              </w:rPr>
              <w:t>mplementation of  IPPC - The Sevilla Process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 xml:space="preserve">); Јединица 2: Beyond IPPC ( </w:t>
            </w:r>
            <w:r w:rsidR="005C7FF2" w:rsidRPr="00E87741">
              <w:rPr>
                <w:rFonts w:ascii="Times New Roman" w:hAnsi="Times New Roman"/>
                <w:sz w:val="20"/>
                <w:szCs w:val="20"/>
              </w:rPr>
              <w:t>Introduction to LCA and wrap up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 xml:space="preserve">); Јединица </w:t>
            </w:r>
            <w:r w:rsidR="005C7FF2" w:rsidRPr="00E87741">
              <w:rPr>
                <w:rFonts w:ascii="Times New Roman" w:hAnsi="Times New Roman"/>
                <w:sz w:val="20"/>
                <w:szCs w:val="20"/>
              </w:rPr>
              <w:t>3: Major Accident Prevention Policy (MAPP)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 xml:space="preserve">; Јединица </w:t>
            </w:r>
            <w:r w:rsidR="005C7FF2" w:rsidRPr="00E87741">
              <w:rPr>
                <w:rFonts w:ascii="Times New Roman" w:hAnsi="Times New Roman"/>
                <w:sz w:val="20"/>
                <w:szCs w:val="20"/>
              </w:rPr>
              <w:t>4: Human Factor Analysis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; Јединица</w:t>
            </w:r>
            <w:r w:rsidR="005C7FF2" w:rsidRPr="00E87741">
              <w:rPr>
                <w:rFonts w:ascii="Times New Roman" w:hAnsi="Times New Roman"/>
                <w:sz w:val="20"/>
                <w:szCs w:val="20"/>
              </w:rPr>
              <w:t xml:space="preserve"> 5: Security factors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 xml:space="preserve">; Јединица </w:t>
            </w:r>
            <w:r w:rsidR="005C7FF2" w:rsidRPr="00E87741">
              <w:rPr>
                <w:rFonts w:ascii="Times New Roman" w:hAnsi="Times New Roman"/>
                <w:sz w:val="20"/>
                <w:szCs w:val="20"/>
              </w:rPr>
              <w:t>6: Key performance indicators in the HSSE area</w:t>
            </w:r>
          </w:p>
          <w:p w:rsidR="005C7FF2" w:rsidRPr="00E87741" w:rsidRDefault="005C7FF2" w:rsidP="00C45F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741">
              <w:rPr>
                <w:rFonts w:ascii="Times New Roman" w:hAnsi="Times New Roman"/>
                <w:sz w:val="20"/>
                <w:szCs w:val="20"/>
              </w:rPr>
              <w:t>3. Certification material, ver. 4 March 2009</w:t>
            </w:r>
          </w:p>
          <w:p w:rsidR="005C7FF2" w:rsidRPr="00E87741" w:rsidRDefault="005C7FF2" w:rsidP="00C45FC4">
            <w:pPr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741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7A2850" w:rsidRPr="00E87741">
              <w:rPr>
                <w:rFonts w:ascii="Times New Roman" w:hAnsi="Times New Roman"/>
                <w:sz w:val="20"/>
                <w:szCs w:val="20"/>
              </w:rPr>
              <w:t>Допунски материјал</w:t>
            </w:r>
          </w:p>
          <w:p w:rsidR="00753014" w:rsidRPr="00E87741" w:rsidRDefault="005C7FF2" w:rsidP="00C45FC4">
            <w:pPr>
              <w:numPr>
                <w:ilvl w:val="1"/>
                <w:numId w:val="2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741">
              <w:rPr>
                <w:rFonts w:ascii="Times New Roman" w:hAnsi="Times New Roman"/>
                <w:sz w:val="20"/>
                <w:szCs w:val="20"/>
              </w:rPr>
              <w:t>IPPC</w:t>
            </w:r>
            <w:r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Directive</w:t>
            </w:r>
            <w:r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(2008/1/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EC</w:t>
            </w:r>
            <w:r w:rsidRPr="00E87741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="00C45FC4" w:rsidRPr="00E8774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C45FC4" w:rsidRPr="002040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Закон о интегрисаном спречавању и контроли загађивања животне средине (Сл. </w:t>
            </w:r>
            <w:r w:rsidR="00C45FC4" w:rsidRPr="00E87741">
              <w:rPr>
                <w:rFonts w:ascii="Times New Roman" w:hAnsi="Times New Roman"/>
                <w:sz w:val="20"/>
                <w:szCs w:val="20"/>
              </w:rPr>
              <w:t xml:space="preserve">Гласник РС, бр. 135/2004 и 25/2015);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IPPC BREF Outline and Guide (EIPPCB)</w:t>
            </w:r>
            <w:r w:rsidR="00C45FC4" w:rsidRPr="00E8774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Executive Summary Tanning BREF (EIPPCB)</w:t>
            </w:r>
            <w:r w:rsidR="00C45FC4" w:rsidRPr="00E8774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Integrated Pollution Prevention and Control (IPPC), Reference Document on Best Available Techniques for the Tanning of Hides and Skins</w:t>
            </w:r>
            <w:r w:rsidR="00C45FC4" w:rsidRPr="00E877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Implementation of IPPC (IEEP report)</w:t>
            </w:r>
            <w:r w:rsidR="00C45FC4" w:rsidRPr="00E8774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COM (2005) 540 final</w:t>
            </w:r>
            <w:r w:rsidR="007A2850" w:rsidRPr="00E8774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COM (2007) 843 final</w:t>
            </w:r>
            <w:r w:rsidR="007A2850" w:rsidRPr="00E8774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Executive Summary BREF E&amp;CM (EIPPCB)</w:t>
            </w:r>
            <w:r w:rsidR="00C45FC4" w:rsidRPr="00E8774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The role of LCA in the context of IPPC (JIE)</w:t>
            </w:r>
            <w:r w:rsidR="00C45FC4" w:rsidRPr="00E8774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E87741">
              <w:rPr>
                <w:rFonts w:ascii="Times New Roman" w:hAnsi="Times New Roman"/>
                <w:sz w:val="20"/>
                <w:szCs w:val="20"/>
              </w:rPr>
              <w:t>Dutch Approach to the European Directive on Integrated Pollution Prevention and Control</w:t>
            </w:r>
          </w:p>
        </w:tc>
      </w:tr>
      <w:tr w:rsidR="00753014" w:rsidRPr="00E87741" w:rsidTr="00DB67E6">
        <w:trPr>
          <w:trHeight w:val="227"/>
          <w:jc w:val="center"/>
        </w:trPr>
        <w:tc>
          <w:tcPr>
            <w:tcW w:w="3050" w:type="dxa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E8774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40" w:type="dxa"/>
            <w:gridSpan w:val="2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B67E6" w:rsidRPr="00E8774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B67E6"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97" w:type="dxa"/>
            <w:gridSpan w:val="2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DB67E6" w:rsidRPr="00E8774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B67E6"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753014" w:rsidRPr="00204075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53014" w:rsidRPr="00204075" w:rsidRDefault="00DB67E6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04075">
              <w:rPr>
                <w:rFonts w:ascii="Times New Roman" w:hAnsi="Times New Roman"/>
                <w:sz w:val="20"/>
                <w:szCs w:val="20"/>
                <w:lang w:val="ru-RU"/>
              </w:rPr>
              <w:t>Предавања, практична настава, есеј</w:t>
            </w:r>
          </w:p>
        </w:tc>
      </w:tr>
      <w:tr w:rsidR="00753014" w:rsidRPr="00204075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E87741" w:rsidTr="00DB67E6">
        <w:trPr>
          <w:trHeight w:val="227"/>
          <w:jc w:val="center"/>
        </w:trPr>
        <w:tc>
          <w:tcPr>
            <w:tcW w:w="3050" w:type="dxa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0" w:type="dxa"/>
            <w:vAlign w:val="center"/>
          </w:tcPr>
          <w:p w:rsidR="00753014" w:rsidRPr="00E87741" w:rsidRDefault="005C7FF2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753014"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2" w:type="dxa"/>
            <w:gridSpan w:val="2"/>
            <w:shd w:val="clear" w:color="auto" w:fill="auto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E87741" w:rsidRDefault="00D41B69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753014"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</w:tr>
      <w:tr w:rsidR="00753014" w:rsidRPr="00E87741" w:rsidTr="00DB67E6">
        <w:trPr>
          <w:trHeight w:val="227"/>
          <w:jc w:val="center"/>
        </w:trPr>
        <w:tc>
          <w:tcPr>
            <w:tcW w:w="3050" w:type="dxa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0" w:type="dxa"/>
            <w:vAlign w:val="center"/>
          </w:tcPr>
          <w:p w:rsidR="00753014" w:rsidRPr="00E87741" w:rsidRDefault="00DB67E6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02" w:type="dxa"/>
            <w:gridSpan w:val="2"/>
            <w:shd w:val="clear" w:color="auto" w:fill="auto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E87741" w:rsidRDefault="00DB67E6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753014" w:rsidRPr="00E87741" w:rsidTr="00DB67E6">
        <w:trPr>
          <w:trHeight w:val="227"/>
          <w:jc w:val="center"/>
        </w:trPr>
        <w:tc>
          <w:tcPr>
            <w:tcW w:w="3050" w:type="dxa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0" w:type="dxa"/>
            <w:vAlign w:val="center"/>
          </w:tcPr>
          <w:p w:rsidR="00753014" w:rsidRPr="00E87741" w:rsidRDefault="00DB67E6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02" w:type="dxa"/>
            <w:gridSpan w:val="2"/>
            <w:shd w:val="clear" w:color="auto" w:fill="auto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E87741" w:rsidTr="00DB67E6">
        <w:trPr>
          <w:trHeight w:val="227"/>
          <w:jc w:val="center"/>
        </w:trPr>
        <w:tc>
          <w:tcPr>
            <w:tcW w:w="3050" w:type="dxa"/>
            <w:vAlign w:val="center"/>
          </w:tcPr>
          <w:p w:rsidR="00753014" w:rsidRPr="00E87741" w:rsidRDefault="00DB67E6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есеј</w:t>
            </w:r>
            <w:r w:rsidR="00753014"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-и</w:t>
            </w:r>
          </w:p>
        </w:tc>
        <w:tc>
          <w:tcPr>
            <w:tcW w:w="1910" w:type="dxa"/>
            <w:vAlign w:val="center"/>
          </w:tcPr>
          <w:p w:rsidR="00753014" w:rsidRPr="00E87741" w:rsidRDefault="00DB67E6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102" w:type="dxa"/>
            <w:gridSpan w:val="2"/>
            <w:shd w:val="clear" w:color="auto" w:fill="auto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204075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5C7F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53014" w:rsidRPr="00204075" w:rsidTr="00DB67E6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E87741" w:rsidRDefault="00753014" w:rsidP="00FD0A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741">
              <w:rPr>
                <w:rFonts w:ascii="Times New Roman" w:hAnsi="Times New Roman"/>
                <w:sz w:val="20"/>
                <w:szCs w:val="20"/>
                <w:lang w:val="sr-Cyrl-CS"/>
              </w:rPr>
              <w:t>*</w:t>
            </w:r>
            <w:r w:rsidRPr="00E87741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>максимална дуж</w:t>
            </w:r>
            <w:r w:rsidR="00FD0A58" w:rsidRPr="00E87741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и</w:t>
            </w:r>
            <w:r w:rsidRPr="00E87741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на </w:t>
            </w:r>
            <w:r w:rsidR="00FD0A58" w:rsidRPr="00E87741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1</w:t>
            </w:r>
            <w:r w:rsidRPr="00E87741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>страниц</w:t>
            </w:r>
            <w:r w:rsidRPr="00E87741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е</w:t>
            </w:r>
            <w:r w:rsidRPr="00E87741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753014" w:rsidRPr="00FD0A58" w:rsidRDefault="00753014" w:rsidP="00A756DE">
      <w:pPr>
        <w:rPr>
          <w:rFonts w:ascii="Times New Roman" w:hAnsi="Times New Roman"/>
          <w:bCs/>
          <w:lang w:val="ru-RU"/>
        </w:rPr>
      </w:pPr>
    </w:p>
    <w:sectPr w:rsidR="00753014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1621244"/>
    <w:multiLevelType w:val="multilevel"/>
    <w:tmpl w:val="F2F69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753014"/>
    <w:rsid w:val="00013103"/>
    <w:rsid w:val="00013FDF"/>
    <w:rsid w:val="00105ABD"/>
    <w:rsid w:val="00142ADA"/>
    <w:rsid w:val="00204075"/>
    <w:rsid w:val="00270BBE"/>
    <w:rsid w:val="002763FA"/>
    <w:rsid w:val="004A230D"/>
    <w:rsid w:val="005A2637"/>
    <w:rsid w:val="005C7FF2"/>
    <w:rsid w:val="005F4F7C"/>
    <w:rsid w:val="00686D28"/>
    <w:rsid w:val="00753014"/>
    <w:rsid w:val="007A2850"/>
    <w:rsid w:val="008A63C4"/>
    <w:rsid w:val="009565A2"/>
    <w:rsid w:val="0098752C"/>
    <w:rsid w:val="00A3388E"/>
    <w:rsid w:val="00A619FD"/>
    <w:rsid w:val="00A756DE"/>
    <w:rsid w:val="00A87274"/>
    <w:rsid w:val="00B016B2"/>
    <w:rsid w:val="00B216AE"/>
    <w:rsid w:val="00C45FC4"/>
    <w:rsid w:val="00D02404"/>
    <w:rsid w:val="00D41B69"/>
    <w:rsid w:val="00DB5DDA"/>
    <w:rsid w:val="00DB67E6"/>
    <w:rsid w:val="00DD1324"/>
    <w:rsid w:val="00DE0D2D"/>
    <w:rsid w:val="00DF506D"/>
    <w:rsid w:val="00E87741"/>
    <w:rsid w:val="00EA7765"/>
    <w:rsid w:val="00EE606A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7A28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EastAsia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A2850"/>
    <w:rPr>
      <w:rFonts w:ascii="Courier" w:hAnsi="Courier" w:cs="Courier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0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4</cp:revision>
  <dcterms:created xsi:type="dcterms:W3CDTF">2019-05-06T08:55:00Z</dcterms:created>
  <dcterms:modified xsi:type="dcterms:W3CDTF">2019-05-20T07:03:00Z</dcterms:modified>
</cp:coreProperties>
</file>